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3E72" w:rsidRDefault="00F343FA">
      <w:pPr>
        <w:spacing w:line="240" w:lineRule="auto"/>
        <w:rPr>
          <w:bCs/>
        </w:rPr>
      </w:pPr>
      <w:r>
        <w:rPr>
          <w:bCs/>
        </w:rPr>
        <w:t xml:space="preserve">Informacja prasowa </w:t>
      </w:r>
      <w:r>
        <w:rPr>
          <w:bCs/>
        </w:rPr>
        <w:tab/>
      </w:r>
      <w:r>
        <w:rPr>
          <w:bCs/>
        </w:rPr>
        <w:tab/>
      </w:r>
      <w:r>
        <w:rPr>
          <w:bCs/>
        </w:rPr>
        <w:tab/>
      </w:r>
      <w:r>
        <w:rPr>
          <w:bCs/>
        </w:rPr>
        <w:tab/>
      </w:r>
      <w:r>
        <w:rPr>
          <w:bCs/>
        </w:rPr>
        <w:tab/>
      </w:r>
      <w:r>
        <w:rPr>
          <w:bCs/>
        </w:rPr>
        <w:tab/>
        <w:t xml:space="preserve">               Warszawa, </w:t>
      </w:r>
      <w:r w:rsidR="000D40F5">
        <w:rPr>
          <w:bCs/>
        </w:rPr>
        <w:t>6</w:t>
      </w:r>
      <w:bookmarkStart w:id="0" w:name="_GoBack"/>
      <w:bookmarkEnd w:id="0"/>
      <w:r w:rsidR="00777023">
        <w:rPr>
          <w:bCs/>
        </w:rPr>
        <w:t xml:space="preserve"> kwietnia</w:t>
      </w:r>
      <w:r>
        <w:rPr>
          <w:bCs/>
        </w:rPr>
        <w:t xml:space="preserve"> 2020 r.</w:t>
      </w:r>
    </w:p>
    <w:p w:rsidR="006C3E72" w:rsidRDefault="006C3E72">
      <w:pPr>
        <w:spacing w:line="240" w:lineRule="auto"/>
        <w:jc w:val="both"/>
        <w:rPr>
          <w:bCs/>
        </w:rPr>
      </w:pPr>
    </w:p>
    <w:p w:rsidR="006C3E72" w:rsidRDefault="00F343FA">
      <w:pPr>
        <w:spacing w:line="240" w:lineRule="auto"/>
        <w:jc w:val="center"/>
        <w:rPr>
          <w:b/>
          <w:bCs/>
          <w:sz w:val="28"/>
          <w:szCs w:val="28"/>
        </w:rPr>
      </w:pPr>
      <w:r>
        <w:rPr>
          <w:b/>
          <w:bCs/>
          <w:sz w:val="28"/>
          <w:szCs w:val="28"/>
        </w:rPr>
        <w:t>Polacy wykupują złoto inwestycyjne</w:t>
      </w:r>
    </w:p>
    <w:p w:rsidR="006C3E72" w:rsidRDefault="00F343FA">
      <w:pPr>
        <w:spacing w:line="240" w:lineRule="auto"/>
        <w:jc w:val="both"/>
      </w:pPr>
      <w:r>
        <w:rPr>
          <w:b/>
          <w:bCs/>
          <w:shd w:val="clear" w:color="auto" w:fill="FFFFFF"/>
        </w:rPr>
        <w:t xml:space="preserve">Ascoin wprowadza zmiany w funkcjonowaniu swojego salonu  złota inwestycyjnego. Spółka podaje, że zmiany w ofercie są spowodowane drastycznym wzrostem popytu i zmniejszeniem dostępności kruszcu, m.in. przez wstrzymanie jego produkcji przez większość producentów. Jednocześnie przewiduje, że  rafinerie i mennice wznowią produkcję najwcześniej za dwa tygodnie. </w:t>
      </w:r>
    </w:p>
    <w:p w:rsidR="006C3E72" w:rsidRDefault="00F343FA">
      <w:pPr>
        <w:jc w:val="both"/>
        <w:rPr>
          <w:bCs/>
          <w:highlight w:val="white"/>
        </w:rPr>
      </w:pPr>
      <w:r>
        <w:rPr>
          <w:rFonts w:cstheme="minorHAnsi"/>
        </w:rPr>
        <w:t>Salon złota inwestycyjnego Ascoin rozpoczął swoją działalność w marcu br. W portfolio produktów spółki, oprócz złota inwestycyjnego znajdują się również srebrne sztaby, monety oraz sztaby platynowe a także monety i sztaby palladowe. Pomimo tego, że w</w:t>
      </w:r>
      <w:r>
        <w:rPr>
          <w:bCs/>
          <w:shd w:val="clear" w:color="auto" w:fill="FFFFFF"/>
        </w:rPr>
        <w:t xml:space="preserve"> skarbcach spółki można było „od ręki” nabyć nawet 30 kg kruszcu, w związku z dynamicznie związanym popytem i ograniczoną podażą, została zmuszona do chwilowej reglamentacji kruszcu. Klienci salonu mogą ustalić warunki transakcji jedynie drogą telefoniczną. </w:t>
      </w:r>
      <w:r>
        <w:rPr>
          <w:rFonts w:cstheme="minorHAnsi"/>
          <w:color w:val="000000"/>
          <w:shd w:val="clear" w:color="auto" w:fill="FFFFFF"/>
        </w:rPr>
        <w:t xml:space="preserve">Obecnie na rynkach światowych uncja złota jest wyceniana na 1620 dolarów amerykańskich. </w:t>
      </w:r>
    </w:p>
    <w:p w:rsidR="006C3E72" w:rsidRDefault="00F343FA">
      <w:pPr>
        <w:jc w:val="both"/>
      </w:pPr>
      <w:r>
        <w:rPr>
          <w:rFonts w:cstheme="minorHAnsi"/>
          <w:i/>
          <w:color w:val="000000"/>
          <w:shd w:val="clear" w:color="auto" w:fill="FFFFFF"/>
        </w:rPr>
        <w:t xml:space="preserve">Pandemia koronowirusa spowodowała, że ceny złota osiągnęły swoje szczyty, nie notowane </w:t>
      </w:r>
      <w:r>
        <w:rPr>
          <w:rFonts w:cstheme="minorHAnsi"/>
          <w:i/>
          <w:color w:val="000000"/>
          <w:shd w:val="clear" w:color="auto" w:fill="FFFFFF"/>
        </w:rPr>
        <w:br/>
        <w:t xml:space="preserve">od co najmniej 7 lat. Podobne ceny w dolarach mogliśmy obserwować na początku 2013 roku. Jeśli chodzi o polski rynek, na cenę kruszcu wpływa też słaba kondycja naszej waluty. </w:t>
      </w:r>
      <w:r>
        <w:rPr>
          <w:rFonts w:eastAsia="Times New Roman" w:cstheme="minorHAnsi"/>
          <w:i/>
        </w:rPr>
        <w:t>Pomimo tego notujemy</w:t>
      </w:r>
      <w:r>
        <w:rPr>
          <w:rFonts w:eastAsia="Times New Roman"/>
          <w:i/>
        </w:rPr>
        <w:t xml:space="preserve"> gigantyczny popyt na złoto. Decyzją administracyjną kantonu Ticino trzy największe szwajcarskiej rafinerie: Valcambi SA, Argor-Heraeus SA oraz MKS PAMP zostały zamknięte.  Dokładając do tego ogromne problemy logistyczne, które napotkała nasza branża po raz pierwszy mamy sytuację, gdzie marża na złoto inwestycyjne wyrażana jest dwucyfrowo. Będziemy wnikliwie obserwować sytuację na</w:t>
      </w:r>
      <w:r w:rsidR="0043284C">
        <w:rPr>
          <w:rFonts w:eastAsia="Times New Roman"/>
          <w:i/>
        </w:rPr>
        <w:t> </w:t>
      </w:r>
      <w:r>
        <w:rPr>
          <w:rFonts w:eastAsia="Times New Roman"/>
          <w:i/>
        </w:rPr>
        <w:t xml:space="preserve">rynku, również za granicą, ale już teraz można założyć, że sytuacja ta nie zmieni się przez </w:t>
      </w:r>
      <w:r w:rsidR="0043284C">
        <w:rPr>
          <w:rFonts w:eastAsia="Times New Roman"/>
          <w:i/>
        </w:rPr>
        <w:t xml:space="preserve">najbliższe dwa tygodnie, czyli </w:t>
      </w:r>
      <w:r>
        <w:rPr>
          <w:rFonts w:eastAsia="Times New Roman"/>
          <w:i/>
        </w:rPr>
        <w:t>do wznowienia produkcji przez rafinerie</w:t>
      </w:r>
      <w:r w:rsidR="0043284C">
        <w:rPr>
          <w:rFonts w:eastAsia="Times New Roman"/>
          <w:i/>
        </w:rPr>
        <w:t xml:space="preserve"> </w:t>
      </w:r>
      <w:r>
        <w:rPr>
          <w:bCs/>
        </w:rPr>
        <w:t>– mówi Waldemar Siemiński, prezes ASCOIN.</w:t>
      </w:r>
    </w:p>
    <w:p w:rsidR="006C3E72" w:rsidRDefault="00F343FA">
      <w:pPr>
        <w:spacing w:line="240" w:lineRule="auto"/>
        <w:jc w:val="both"/>
        <w:rPr>
          <w:rFonts w:cstheme="minorHAnsi"/>
          <w:bCs/>
        </w:rPr>
      </w:pPr>
      <w:r>
        <w:t>ASCOIN Współpracuje z producentami złotych sztab, akredytowani przez LBMA, takimi jak Valcambi, Metalor, Argor-Heraeus, Heraeus, Pert Mint, czy PAMP oraz producentami monet bulionowych: Royal Canadian Mint, US Mint, Perth Mint czy Austrian Mint. Spółka prognozuje, że w pierwszym roku swojej działalności</w:t>
      </w:r>
      <w:r>
        <w:rPr>
          <w:bCs/>
        </w:rPr>
        <w:t xml:space="preserve"> przekroczy przewidywany poziom </w:t>
      </w:r>
      <w:r>
        <w:t xml:space="preserve">sprzedaży na poziomie 40 - 50 kg złota miesięcznie i planuje osiągnięcie progu rentowności jeszcze w 2020 r. </w:t>
      </w:r>
      <w:r>
        <w:rPr>
          <w:rFonts w:cstheme="minorHAnsi"/>
          <w:bCs/>
        </w:rPr>
        <w:t>W styczniu 2020 r. spółka otrzymała koncesję NBP na handel metalami szlachetnymi.</w:t>
      </w:r>
    </w:p>
    <w:p w:rsidR="006C3E72" w:rsidRDefault="00F343FA">
      <w:pPr>
        <w:jc w:val="both"/>
      </w:pPr>
      <w:r>
        <w:rPr>
          <w:rFonts w:cstheme="minorHAnsi"/>
          <w:bCs/>
          <w:i/>
        </w:rPr>
        <w:t>Od dawna złoto inwestycyjne jest postrzegane przez inwestorów jako bezpieczna przystań na trudne czasy dla gospodarki światowej. Obecnie mówimy już o globalnej recesji więc zrost cen kruszcu nie powinien nikogo dziwić. Dynamika tego trendu jest jednak tak wysoka, że zaczyna brakować złota, które można nabyć. Taka sytuacja może wyeliminować z rynku słabsze podmioty. Zostaną na nim te które będą w stanie dos</w:t>
      </w:r>
      <w:r w:rsidR="0043284C">
        <w:rPr>
          <w:rFonts w:cstheme="minorHAnsi"/>
          <w:bCs/>
          <w:i/>
        </w:rPr>
        <w:t>tarczyć kruszec swoim klientom</w:t>
      </w:r>
      <w:r>
        <w:rPr>
          <w:rFonts w:cstheme="minorHAnsi"/>
          <w:bCs/>
        </w:rPr>
        <w:t xml:space="preserve"> – dodaje </w:t>
      </w:r>
      <w:r>
        <w:rPr>
          <w:bCs/>
        </w:rPr>
        <w:t>Waldemar Siemiński, prezes ASCOIN.</w:t>
      </w:r>
    </w:p>
    <w:p w:rsidR="006C3E72" w:rsidRDefault="006C3E72">
      <w:pPr>
        <w:spacing w:line="240" w:lineRule="auto"/>
        <w:jc w:val="both"/>
      </w:pPr>
    </w:p>
    <w:p w:rsidR="006C3E72" w:rsidRDefault="00F343FA">
      <w:pPr>
        <w:pStyle w:val="Tre"/>
        <w:jc w:val="both"/>
        <w:rPr>
          <w:rFonts w:asciiTheme="minorHAnsi" w:hAnsiTheme="minorHAnsi" w:cstheme="minorHAnsi"/>
          <w:bCs/>
        </w:rPr>
      </w:pPr>
      <w:r>
        <w:rPr>
          <w:rFonts w:asciiTheme="minorHAnsi" w:hAnsiTheme="minorHAnsi" w:cstheme="minorHAnsi"/>
          <w:bCs/>
        </w:rPr>
        <w:t>__________________________________________________________________________________</w:t>
      </w:r>
    </w:p>
    <w:p w:rsidR="006C3E72" w:rsidRDefault="006C3E72">
      <w:pPr>
        <w:pStyle w:val="Tre"/>
        <w:jc w:val="both"/>
        <w:rPr>
          <w:rFonts w:asciiTheme="minorHAnsi" w:hAnsiTheme="minorHAnsi" w:cstheme="minorHAnsi"/>
          <w:b/>
          <w:bCs/>
        </w:rPr>
      </w:pPr>
    </w:p>
    <w:p w:rsidR="006C3E72" w:rsidRDefault="00F343FA">
      <w:pPr>
        <w:pStyle w:val="Tre"/>
        <w:jc w:val="both"/>
        <w:rPr>
          <w:rFonts w:asciiTheme="minorHAnsi" w:hAnsiTheme="minorHAnsi" w:cstheme="minorHAnsi"/>
        </w:rPr>
      </w:pPr>
      <w:r>
        <w:rPr>
          <w:rFonts w:asciiTheme="minorHAnsi" w:hAnsiTheme="minorHAnsi" w:cstheme="minorHAnsi"/>
          <w:b/>
          <w:bCs/>
        </w:rPr>
        <w:t>Waldemar Siemiński</w:t>
      </w:r>
      <w:r>
        <w:rPr>
          <w:rFonts w:asciiTheme="minorHAnsi" w:hAnsiTheme="minorHAnsi" w:cstheme="minorHAnsi"/>
          <w:bCs/>
        </w:rPr>
        <w:t xml:space="preserve"> – współzałożyciel i prezes zarządu ASCOIN Sp. z o.o. Sp. k. Wrocławski biznesmen i społecznik. Elektronik, p</w:t>
      </w:r>
      <w:r>
        <w:rPr>
          <w:rFonts w:asciiTheme="minorHAnsi" w:hAnsiTheme="minorHAnsi" w:cstheme="minorHAnsi"/>
        </w:rPr>
        <w:t>rzez 30 lat związany z branżą security. Założyciel i wieloletni prezes firmy ASCO. Obecnie główny udziałowiec i prezes firmy deweloperskiej Wro-Office. Założyciel i wieloletni prezes Wrocławskiej Izby Gospodarczej. Dyplomata - Konsul Honorowy Estonii.</w:t>
      </w:r>
    </w:p>
    <w:p w:rsidR="006C3E72" w:rsidRDefault="00F343FA">
      <w:pPr>
        <w:spacing w:line="240" w:lineRule="auto"/>
        <w:jc w:val="both"/>
      </w:pPr>
      <w:r>
        <w:rPr>
          <w:noProof/>
          <w:lang w:eastAsia="pl-PL"/>
        </w:rPr>
        <mc:AlternateContent>
          <mc:Choice Requires="wps">
            <w:drawing>
              <wp:anchor distT="0" distB="0" distL="114300" distR="114300" simplePos="0" relativeHeight="4" behindDoc="0" locked="0" layoutInCell="1" allowOverlap="1" wp14:anchorId="05E364E8">
                <wp:simplePos x="0" y="0"/>
                <wp:positionH relativeFrom="margin">
                  <wp:posOffset>7620</wp:posOffset>
                </wp:positionH>
                <wp:positionV relativeFrom="paragraph">
                  <wp:posOffset>264160</wp:posOffset>
                </wp:positionV>
                <wp:extent cx="5726430" cy="11430"/>
                <wp:effectExtent l="0" t="0" r="28575" b="28575"/>
                <wp:wrapNone/>
                <wp:docPr id="1" name="Łącznik prosty 1"/>
                <wp:cNvGraphicFramePr/>
                <a:graphic xmlns:a="http://schemas.openxmlformats.org/drawingml/2006/main">
                  <a:graphicData uri="http://schemas.microsoft.com/office/word/2010/wordprocessingShape">
                    <wps:wsp>
                      <wps:cNvCnPr/>
                      <wps:spPr>
                        <a:xfrm flipV="1">
                          <a:off x="0" y="0"/>
                          <a:ext cx="5725800" cy="8280"/>
                        </a:xfrm>
                        <a:prstGeom prst="line">
                          <a:avLst/>
                        </a:prstGeom>
                        <a:ln w="12600">
                          <a:solidFill>
                            <a:srgbClr val="ED7D31"/>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6pt,20.45pt" to="451.4pt,21.05pt" ID="Łącznik prosty 1" stroked="t" style="position:absolute;flip:y;mso-position-horizontal-relative:margin" wp14:anchorId="05E364E8">
                <v:stroke color="#ed7d31" weight="12600" joinstyle="miter" endcap="flat"/>
                <v:fill o:detectmouseclick="t" on="false"/>
              </v:line>
            </w:pict>
          </mc:Fallback>
        </mc:AlternateContent>
      </w:r>
    </w:p>
    <w:p w:rsidR="006C3E72" w:rsidRDefault="00F343FA">
      <w:pPr>
        <w:pStyle w:val="Akapitzlist"/>
        <w:keepNext/>
        <w:keepLines/>
        <w:spacing w:before="480" w:after="160" w:line="276" w:lineRule="auto"/>
        <w:ind w:left="0"/>
        <w:jc w:val="both"/>
        <w:outlineLvl w:val="0"/>
        <w:rPr>
          <w:rFonts w:asciiTheme="minorHAnsi" w:hAnsiTheme="minorHAnsi" w:cstheme="minorHAnsi"/>
          <w:bCs/>
          <w:sz w:val="18"/>
          <w:szCs w:val="18"/>
          <w:lang w:val="pl-PL"/>
        </w:rPr>
      </w:pPr>
      <w:bookmarkStart w:id="1" w:name="_Hlk33697511"/>
      <w:r>
        <w:rPr>
          <w:rFonts w:asciiTheme="minorHAnsi" w:hAnsiTheme="minorHAnsi" w:cstheme="minorHAnsi"/>
          <w:b/>
          <w:bCs/>
          <w:sz w:val="18"/>
          <w:szCs w:val="18"/>
          <w:lang w:val="pl-PL"/>
        </w:rPr>
        <w:lastRenderedPageBreak/>
        <w:t xml:space="preserve">ASCOIN Sp. z o.o. </w:t>
      </w:r>
      <w:r>
        <w:rPr>
          <w:rFonts w:asciiTheme="minorHAnsi" w:hAnsiTheme="minorHAnsi" w:cstheme="minorHAnsi"/>
          <w:b/>
          <w:bCs/>
          <w:color w:val="212121"/>
          <w:sz w:val="18"/>
          <w:szCs w:val="18"/>
          <w:lang w:val="pl-PL" w:eastAsia="pl-PL"/>
        </w:rPr>
        <w:t xml:space="preserve"> Sp. k.</w:t>
      </w:r>
      <w:r>
        <w:rPr>
          <w:rFonts w:asciiTheme="minorHAnsi" w:hAnsiTheme="minorHAnsi" w:cstheme="minorHAnsi"/>
          <w:color w:val="212121"/>
          <w:sz w:val="18"/>
          <w:szCs w:val="18"/>
          <w:lang w:val="pl-PL" w:eastAsia="pl-PL"/>
        </w:rPr>
        <w:t xml:space="preserve"> zajmuje się sprzedażą i skupem złota oraz innych metali szlachetnych. </w:t>
      </w:r>
      <w:bookmarkEnd w:id="1"/>
      <w:r>
        <w:rPr>
          <w:rFonts w:asciiTheme="minorHAnsi" w:hAnsiTheme="minorHAnsi" w:cstheme="minorHAnsi"/>
          <w:color w:val="212121"/>
          <w:sz w:val="18"/>
          <w:szCs w:val="18"/>
          <w:lang w:val="pl-PL" w:eastAsia="pl-PL"/>
        </w:rPr>
        <w:t xml:space="preserve">W portfolio produktów spółki znajdują się sztaby, monety bulionowe. Oferuje swoim klientom możliwość szybkiego zawierania transakcji o dużej wartości. </w:t>
      </w:r>
      <w:r>
        <w:rPr>
          <w:rFonts w:asciiTheme="minorHAnsi" w:hAnsiTheme="minorHAnsi" w:cstheme="minorHAnsi"/>
          <w:bCs/>
          <w:sz w:val="18"/>
          <w:szCs w:val="18"/>
          <w:lang w:val="pl-PL"/>
        </w:rPr>
        <w:t xml:space="preserve">Współpracuje z największymi renomowanymi rafineriami złota. Posiada licencję Narodowego Banku Polskiego na handel metalami szlachetnymi. Kapitał zakładowy spółki wynosi 1 000 000 zł., wpłacony w całości. </w:t>
      </w:r>
    </w:p>
    <w:p w:rsidR="006C3E72" w:rsidRDefault="006C3E72">
      <w:pPr>
        <w:spacing w:line="240" w:lineRule="auto"/>
        <w:jc w:val="both"/>
      </w:pPr>
    </w:p>
    <w:sectPr w:rsidR="006C3E72">
      <w:headerReference w:type="default" r:id="rId9"/>
      <w:pgSz w:w="11906" w:h="16838"/>
      <w:pgMar w:top="1417" w:right="1417" w:bottom="1417" w:left="1417"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0A97" w:rsidRDefault="000B0A97">
      <w:pPr>
        <w:spacing w:after="0" w:line="240" w:lineRule="auto"/>
      </w:pPr>
      <w:r>
        <w:separator/>
      </w:r>
    </w:p>
  </w:endnote>
  <w:endnote w:type="continuationSeparator" w:id="0">
    <w:p w:rsidR="000B0A97" w:rsidRDefault="000B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Helvetica Neue">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0A97" w:rsidRDefault="000B0A97">
      <w:pPr>
        <w:spacing w:after="0" w:line="240" w:lineRule="auto"/>
      </w:pPr>
      <w:r>
        <w:separator/>
      </w:r>
    </w:p>
  </w:footnote>
  <w:footnote w:type="continuationSeparator" w:id="0">
    <w:p w:rsidR="000B0A97" w:rsidRDefault="000B0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3E72" w:rsidRDefault="00F343FA">
    <w:pPr>
      <w:pStyle w:val="Nagwek"/>
    </w:pPr>
    <w:r>
      <w:rPr>
        <w:noProof/>
        <w:lang w:eastAsia="pl-PL"/>
      </w:rPr>
      <w:drawing>
        <wp:anchor distT="0" distB="5080" distL="0" distR="114300" simplePos="0" relativeHeight="3" behindDoc="0" locked="0" layoutInCell="1" allowOverlap="1">
          <wp:simplePos x="0" y="0"/>
          <wp:positionH relativeFrom="margin">
            <wp:align>left</wp:align>
          </wp:positionH>
          <wp:positionV relativeFrom="paragraph">
            <wp:posOffset>314325</wp:posOffset>
          </wp:positionV>
          <wp:extent cx="1924050" cy="356870"/>
          <wp:effectExtent l="0" t="0" r="0" b="0"/>
          <wp:wrapTight wrapText="bothSides">
            <wp:wrapPolygon edited="0">
              <wp:start x="-28" y="0"/>
              <wp:lineTo x="-28" y="20726"/>
              <wp:lineTo x="21382" y="20726"/>
              <wp:lineTo x="21382" y="0"/>
              <wp:lineTo x="-28"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1924050" cy="3568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72"/>
    <w:rsid w:val="000B0A97"/>
    <w:rsid w:val="000D40F5"/>
    <w:rsid w:val="0043284C"/>
    <w:rsid w:val="006C3E72"/>
    <w:rsid w:val="00777023"/>
    <w:rsid w:val="00F343FA"/>
    <w:rsid w:val="00F84B0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36EF"/>
  <w15:docId w15:val="{4BA64762-61C7-446A-9BDB-E213D074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63B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26123"/>
    <w:rPr>
      <w:color w:val="0563C1" w:themeColor="hyperlink"/>
      <w:u w:val="single"/>
    </w:rPr>
  </w:style>
  <w:style w:type="character" w:customStyle="1" w:styleId="TekstdymkaZnak">
    <w:name w:val="Tekst dymka Znak"/>
    <w:basedOn w:val="Domylnaczcionkaakapitu"/>
    <w:link w:val="Tekstdymka"/>
    <w:uiPriority w:val="99"/>
    <w:semiHidden/>
    <w:qFormat/>
    <w:rsid w:val="005407A9"/>
    <w:rPr>
      <w:rFonts w:ascii="Segoe UI" w:hAnsi="Segoe UI" w:cs="Segoe UI"/>
      <w:sz w:val="18"/>
      <w:szCs w:val="18"/>
    </w:rPr>
  </w:style>
  <w:style w:type="character" w:customStyle="1" w:styleId="ListLabel1">
    <w:name w:val="ListLabel 1"/>
    <w:qFormat/>
    <w:rPr>
      <w:rFonts w:asciiTheme="minorHAnsi" w:hAnsiTheme="minorHAnsi" w:cstheme="minorHAnsi"/>
      <w:b/>
      <w:color w:val="FF0000"/>
    </w:rPr>
  </w:style>
  <w:style w:type="character" w:customStyle="1" w:styleId="StopkaZnak">
    <w:name w:val="Stopka Znak"/>
    <w:basedOn w:val="Domylnaczcionkaakapitu"/>
    <w:link w:val="Stopka"/>
    <w:uiPriority w:val="99"/>
    <w:qFormat/>
    <w:rsid w:val="001E67FB"/>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Akapitzlist">
    <w:name w:val="List Paragraph"/>
    <w:basedOn w:val="Normalny"/>
    <w:uiPriority w:val="34"/>
    <w:qFormat/>
    <w:rsid w:val="00126123"/>
    <w:pPr>
      <w:spacing w:after="0" w:line="240" w:lineRule="auto"/>
      <w:ind w:left="720"/>
      <w:contextualSpacing/>
    </w:pPr>
    <w:rPr>
      <w:rFonts w:ascii="Arial" w:eastAsia="Times New Roman" w:hAnsi="Arial" w:cs="Times New Roman"/>
      <w:sz w:val="20"/>
      <w:szCs w:val="24"/>
      <w:lang w:val="en-US"/>
    </w:rPr>
  </w:style>
  <w:style w:type="paragraph" w:customStyle="1" w:styleId="Tre">
    <w:name w:val="Treść"/>
    <w:qFormat/>
    <w:rsid w:val="000C0E56"/>
    <w:rPr>
      <w:rFonts w:ascii="Helvetica Neue" w:eastAsia="Arial Unicode MS" w:hAnsi="Helvetica Neue" w:cs="Arial Unicode MS"/>
      <w:color w:val="000000"/>
      <w:lang w:eastAsia="pl-PL"/>
      <w14:textOutline w14:w="0" w14:cap="flat" w14:cmpd="sng" w14:algn="ctr">
        <w14:noFill/>
        <w14:prstDash w14:val="solid"/>
        <w14:bevel/>
      </w14:textOutline>
    </w:rPr>
  </w:style>
  <w:style w:type="paragraph" w:styleId="Tekstdymka">
    <w:name w:val="Balloon Text"/>
    <w:basedOn w:val="Normalny"/>
    <w:link w:val="TekstdymkaZnak"/>
    <w:uiPriority w:val="99"/>
    <w:semiHidden/>
    <w:unhideWhenUsed/>
    <w:qFormat/>
    <w:rsid w:val="005407A9"/>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1E67FB"/>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BEA7022B6AE94C9B484C20903FB2E6" ma:contentTypeVersion="8" ma:contentTypeDescription="Utwórz nowy dokument." ma:contentTypeScope="" ma:versionID="f8749475569b619613b1a17c9ae7366a">
  <xsd:schema xmlns:xsd="http://www.w3.org/2001/XMLSchema" xmlns:xs="http://www.w3.org/2001/XMLSchema" xmlns:p="http://schemas.microsoft.com/office/2006/metadata/properties" xmlns:ns2="2a3f6d0b-474e-4d5f-808f-2b6a88bfe0f3" targetNamespace="http://schemas.microsoft.com/office/2006/metadata/properties" ma:root="true" ma:fieldsID="7029c0f80dd0662c0d484156b8f6d643" ns2:_="">
    <xsd:import namespace="2a3f6d0b-474e-4d5f-808f-2b6a88bfe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f6d0b-474e-4d5f-808f-2b6a88bfe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435BB-7541-4627-AEFF-3D34AEDFC9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13BE95-5553-4749-9D74-1B8A111C0172}">
  <ds:schemaRefs>
    <ds:schemaRef ds:uri="http://schemas.microsoft.com/sharepoint/v3/contenttype/forms"/>
  </ds:schemaRefs>
</ds:datastoreItem>
</file>

<file path=customXml/itemProps3.xml><?xml version="1.0" encoding="utf-8"?>
<ds:datastoreItem xmlns:ds="http://schemas.openxmlformats.org/officeDocument/2006/customXml" ds:itemID="{6E71CC9E-BB1A-40D9-BA6F-8D95B9A02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f6d0b-474e-4d5f-808f-2b6a88bfe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Ćwiek</dc:creator>
  <dc:description/>
  <cp:lastModifiedBy>Nina Żwirko</cp:lastModifiedBy>
  <cp:revision>4</cp:revision>
  <cp:lastPrinted>2020-01-30T06:55:00Z</cp:lastPrinted>
  <dcterms:created xsi:type="dcterms:W3CDTF">2020-03-31T05:34:00Z</dcterms:created>
  <dcterms:modified xsi:type="dcterms:W3CDTF">2020-04-06T11:29:00Z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0x01010067BEA7022B6AE94C9B484C20903FB2E6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